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 w:val="0"/>
          <w:color w:val="30303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303030"/>
          <w:kern w:val="0"/>
          <w:sz w:val="32"/>
          <w:szCs w:val="32"/>
          <w:lang w:val="en-US" w:eastAsia="zh-CN" w:bidi="ar"/>
        </w:rPr>
        <w:t>附件一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  <w:t>安徽省机电行业协会</w:t>
      </w:r>
    </w:p>
    <w:p>
      <w:pPr>
        <w:jc w:val="center"/>
        <w:rPr>
          <w:rFonts w:hint="eastAsia" w:ascii="宋体" w:hAnsi="宋体" w:cs="宋体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eastAsia="zh-CN"/>
        </w:rPr>
        <w:t>德国经济投资论坛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参会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回执表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tblpX="-365" w:tblpY="158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27"/>
        <w:gridCol w:w="1047"/>
        <w:gridCol w:w="1700"/>
        <w:gridCol w:w="103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安徽省机电行业协会秘书处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电话:0551-69106578            传真:0551-69106576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 xml:space="preserve">邮箱:455743647@qq.com          Q Q:455743647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46218"/>
    <w:rsid w:val="0A1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2019-11-07T07:47:00Z</dcterms:created>
  <dc:creator>行吟骑士1393210142</dc:creator>
  <cp:lastModifiedBy>行吟骑士1393210142</cp:lastModifiedBy>
  <dcterms:modified xsi:type="dcterms:W3CDTF">2019-11-07T07:47:32Z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